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Приложение № 2</w:t>
      </w:r>
    </w:p>
    <w:p w:rsidR="00000000" w:rsidDel="00000000" w:rsidP="00000000" w:rsidRDefault="00000000" w:rsidRPr="00000000" w14:paraId="0000000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Решение на УС на САБ  на заседанието на УС (16.01.2023 г.) за запазване паметта на арх. Георги Стоилов</w:t>
      </w:r>
    </w:p>
    <w:p w:rsidR="00000000" w:rsidDel="00000000" w:rsidP="00000000" w:rsidRDefault="00000000" w:rsidRPr="00000000" w14:paraId="0000000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tabs>
          <w:tab w:val="left" w:leader="none" w:pos="1095"/>
        </w:tabs>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УС на САБ взе следните решения:</w:t>
      </w:r>
    </w:p>
    <w:p w:rsidR="00000000" w:rsidDel="00000000" w:rsidP="00000000" w:rsidRDefault="00000000" w:rsidRPr="00000000" w14:paraId="00000006">
      <w:pPr>
        <w:tabs>
          <w:tab w:val="left" w:leader="none" w:pos="109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да се предложи на Общото събрание на САБ да вземе решение за наименуване на Централния дом на архитекта в София на името на арх. Георги Стоилов</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и да се учреди международна награда на името на арх. Георги Стоилов;</w:t>
      </w:r>
    </w:p>
    <w:p w:rsidR="00000000" w:rsidDel="00000000" w:rsidP="00000000" w:rsidRDefault="00000000" w:rsidRPr="00000000" w14:paraId="00000007">
      <w:pPr>
        <w:tabs>
          <w:tab w:val="left" w:leader="none" w:pos="109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да се издаде извънреден брой на сп. Архитектура, посветен на арх. Георги Стоилов ( по възможност за годишнината от кончината му);</w:t>
      </w:r>
    </w:p>
    <w:p w:rsidR="00000000" w:rsidDel="00000000" w:rsidP="00000000" w:rsidRDefault="00000000" w:rsidRPr="00000000" w14:paraId="00000008">
      <w:pPr>
        <w:tabs>
          <w:tab w:val="left" w:leader="none" w:pos="109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по отношение на личния му архив да се вземе решение, след изясняване на възможностите и решението на наследниците му.</w:t>
      </w:r>
    </w:p>
    <w:p w:rsidR="00000000" w:rsidDel="00000000" w:rsidP="00000000" w:rsidRDefault="00000000" w:rsidRPr="00000000" w14:paraId="0000000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Приложение № 3</w:t>
      </w:r>
    </w:p>
    <w:p w:rsidR="00000000" w:rsidDel="00000000" w:rsidP="00000000" w:rsidRDefault="00000000" w:rsidRPr="00000000" w14:paraId="0000000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Издателска политика на САБ 2019 - 2023</w:t>
      </w:r>
      <w:r w:rsidDel="00000000" w:rsidR="00000000" w:rsidRPr="00000000">
        <w:rPr>
          <w:rtl w:val="0"/>
        </w:rPr>
      </w:r>
    </w:p>
    <w:p w:rsidR="00000000" w:rsidDel="00000000" w:rsidP="00000000" w:rsidRDefault="00000000" w:rsidRPr="00000000" w14:paraId="0000000D">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E">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А. Сп.Архитектура</w:t>
      </w: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1-2/2020  София</w:t>
      </w:r>
    </w:p>
    <w:p w:rsidR="00000000" w:rsidDel="00000000" w:rsidP="00000000" w:rsidRDefault="00000000" w:rsidRPr="00000000" w14:paraId="00000010">
      <w:pPr>
        <w:rPr>
          <w:rFonts w:ascii="Arial" w:cs="Arial" w:eastAsia="Arial" w:hAnsi="Arial"/>
          <w:sz w:val="22"/>
          <w:szCs w:val="22"/>
        </w:rPr>
      </w:pPr>
      <w:r w:rsidDel="00000000" w:rsidR="00000000" w:rsidRPr="00000000">
        <w:rPr>
          <w:rFonts w:ascii="Arial" w:cs="Arial" w:eastAsia="Arial" w:hAnsi="Arial"/>
          <w:sz w:val="22"/>
          <w:szCs w:val="22"/>
          <w:rtl w:val="0"/>
        </w:rPr>
        <w:t xml:space="preserve">3-4/2020  Велико Търново</w:t>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2"/>
          <w:szCs w:val="22"/>
          <w:rtl w:val="0"/>
        </w:rPr>
        <w:t xml:space="preserve">5-6/2020  Културно наследство</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sz w:val="22"/>
          <w:szCs w:val="22"/>
        </w:rPr>
      </w:pPr>
      <w:r w:rsidDel="00000000" w:rsidR="00000000" w:rsidRPr="00000000">
        <w:rPr>
          <w:rFonts w:ascii="Arial" w:cs="Arial" w:eastAsia="Arial" w:hAnsi="Arial"/>
          <w:sz w:val="22"/>
          <w:szCs w:val="22"/>
          <w:rtl w:val="0"/>
        </w:rPr>
        <w:t xml:space="preserve">1-2/2021  Градоустройство и градска среда</w:t>
      </w:r>
    </w:p>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3-4/2021  Архитектурата в България днес</w:t>
      </w:r>
    </w:p>
    <w:p w:rsidR="00000000" w:rsidDel="00000000" w:rsidP="00000000" w:rsidRDefault="00000000" w:rsidRPr="00000000" w14:paraId="00000015">
      <w:pPr>
        <w:rPr>
          <w:rFonts w:ascii="Arial" w:cs="Arial" w:eastAsia="Arial" w:hAnsi="Arial"/>
          <w:sz w:val="22"/>
          <w:szCs w:val="22"/>
        </w:rPr>
      </w:pPr>
      <w:r w:rsidDel="00000000" w:rsidR="00000000" w:rsidRPr="00000000">
        <w:rPr>
          <w:rFonts w:ascii="Arial" w:cs="Arial" w:eastAsia="Arial" w:hAnsi="Arial"/>
          <w:sz w:val="22"/>
          <w:szCs w:val="22"/>
          <w:rtl w:val="0"/>
        </w:rPr>
        <w:t xml:space="preserve">5-6/2021  Архитектура и общество</w:t>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Fonts w:ascii="Arial" w:cs="Arial" w:eastAsia="Arial" w:hAnsi="Arial"/>
          <w:sz w:val="22"/>
          <w:szCs w:val="22"/>
          <w:rtl w:val="0"/>
        </w:rPr>
        <w:t xml:space="preserve">1-2/2022  Архитектурен фестивал 2021</w:t>
      </w:r>
    </w:p>
    <w:p w:rsidR="00000000" w:rsidDel="00000000" w:rsidP="00000000" w:rsidRDefault="00000000" w:rsidRPr="00000000" w14:paraId="00000018">
      <w:pPr>
        <w:rPr>
          <w:rFonts w:ascii="Arial" w:cs="Arial" w:eastAsia="Arial" w:hAnsi="Arial"/>
          <w:sz w:val="22"/>
          <w:szCs w:val="22"/>
        </w:rPr>
      </w:pPr>
      <w:r w:rsidDel="00000000" w:rsidR="00000000" w:rsidRPr="00000000">
        <w:rPr>
          <w:rFonts w:ascii="Arial" w:cs="Arial" w:eastAsia="Arial" w:hAnsi="Arial"/>
          <w:sz w:val="22"/>
          <w:szCs w:val="22"/>
          <w:rtl w:val="0"/>
        </w:rPr>
        <w:t xml:space="preserve">3-4/2022  Младежко творчество</w:t>
      </w:r>
    </w:p>
    <w:p w:rsidR="00000000" w:rsidDel="00000000" w:rsidP="00000000" w:rsidRDefault="00000000" w:rsidRPr="00000000" w14:paraId="00000019">
      <w:pPr>
        <w:rPr>
          <w:rFonts w:ascii="Arial" w:cs="Arial" w:eastAsia="Arial" w:hAnsi="Arial"/>
          <w:sz w:val="22"/>
          <w:szCs w:val="22"/>
        </w:rPr>
      </w:pPr>
      <w:r w:rsidDel="00000000" w:rsidR="00000000" w:rsidRPr="00000000">
        <w:rPr>
          <w:rFonts w:ascii="Arial" w:cs="Arial" w:eastAsia="Arial" w:hAnsi="Arial"/>
          <w:sz w:val="22"/>
          <w:szCs w:val="22"/>
          <w:rtl w:val="0"/>
        </w:rPr>
        <w:t xml:space="preserve">5-6/2022  Българско черноморско крайбрежие</w:t>
      </w:r>
    </w:p>
    <w:p w:rsidR="00000000" w:rsidDel="00000000" w:rsidP="00000000" w:rsidRDefault="00000000" w:rsidRPr="00000000" w14:paraId="0000001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rPr>
          <w:rFonts w:ascii="Arial" w:cs="Arial" w:eastAsia="Arial" w:hAnsi="Arial"/>
          <w:sz w:val="22"/>
          <w:szCs w:val="22"/>
        </w:rPr>
      </w:pPr>
      <w:r w:rsidDel="00000000" w:rsidR="00000000" w:rsidRPr="00000000">
        <w:rPr>
          <w:rFonts w:ascii="Arial" w:cs="Arial" w:eastAsia="Arial" w:hAnsi="Arial"/>
          <w:sz w:val="22"/>
          <w:szCs w:val="22"/>
          <w:rtl w:val="0"/>
        </w:rPr>
        <w:t xml:space="preserve">1-2/2023  За Георги Стоилов</w:t>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                Съвременна българска архитектура</w:t>
      </w:r>
    </w:p>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                Конкурси</w:t>
      </w:r>
    </w:p>
    <w:p w:rsidR="00000000" w:rsidDel="00000000" w:rsidP="00000000" w:rsidRDefault="00000000" w:rsidRPr="00000000" w14:paraId="0000001E">
      <w:pPr>
        <w:rPr>
          <w:rFonts w:ascii="Arial" w:cs="Arial" w:eastAsia="Arial" w:hAnsi="Arial"/>
          <w:sz w:val="22"/>
          <w:szCs w:val="22"/>
        </w:rPr>
      </w:pPr>
      <w:r w:rsidDel="00000000" w:rsidR="00000000" w:rsidRPr="00000000">
        <w:rPr>
          <w:rFonts w:ascii="Arial" w:cs="Arial" w:eastAsia="Arial" w:hAnsi="Arial"/>
          <w:sz w:val="22"/>
          <w:szCs w:val="22"/>
          <w:rtl w:val="0"/>
        </w:rPr>
        <w:t xml:space="preserve">                Биенале във Венеция 2023 г.</w:t>
      </w:r>
    </w:p>
    <w:p w:rsidR="00000000" w:rsidDel="00000000" w:rsidP="00000000" w:rsidRDefault="00000000" w:rsidRPr="00000000" w14:paraId="0000001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Б. Отделни издания</w:t>
      </w:r>
      <w:r w:rsidDel="00000000" w:rsidR="00000000" w:rsidRPr="00000000">
        <w:rPr>
          <w:rtl w:val="0"/>
        </w:rPr>
      </w:r>
    </w:p>
    <w:p w:rsidR="00000000" w:rsidDel="00000000" w:rsidP="00000000" w:rsidRDefault="00000000" w:rsidRPr="00000000" w14:paraId="00000021">
      <w:pPr>
        <w:rPr>
          <w:rFonts w:ascii="Arial" w:cs="Arial" w:eastAsia="Arial" w:hAnsi="Arial"/>
          <w:sz w:val="22"/>
          <w:szCs w:val="22"/>
        </w:rPr>
      </w:pPr>
      <w:r w:rsidDel="00000000" w:rsidR="00000000" w:rsidRPr="00000000">
        <w:rPr>
          <w:rFonts w:ascii="Arial" w:cs="Arial" w:eastAsia="Arial" w:hAnsi="Arial"/>
          <w:sz w:val="22"/>
          <w:szCs w:val="22"/>
          <w:rtl w:val="0"/>
        </w:rPr>
        <w:t xml:space="preserve">Бяла книга – І, ІІ, ІІІ тома.Третият том е под печат</w:t>
      </w:r>
    </w:p>
    <w:p w:rsidR="00000000" w:rsidDel="00000000" w:rsidP="00000000" w:rsidRDefault="00000000" w:rsidRPr="00000000" w14:paraId="00000022">
      <w:pPr>
        <w:rPr>
          <w:rFonts w:ascii="Arial" w:cs="Arial" w:eastAsia="Arial" w:hAnsi="Arial"/>
          <w:sz w:val="22"/>
          <w:szCs w:val="22"/>
        </w:rPr>
      </w:pPr>
      <w:r w:rsidDel="00000000" w:rsidR="00000000" w:rsidRPr="00000000">
        <w:rPr>
          <w:rFonts w:ascii="Arial" w:cs="Arial" w:eastAsia="Arial" w:hAnsi="Arial"/>
          <w:sz w:val="22"/>
          <w:szCs w:val="22"/>
          <w:rtl w:val="0"/>
        </w:rPr>
        <w:t xml:space="preserve">Проблеми на ОУП</w:t>
      </w:r>
    </w:p>
    <w:p w:rsidR="00000000" w:rsidDel="00000000" w:rsidP="00000000" w:rsidRDefault="00000000" w:rsidRPr="00000000" w14:paraId="00000023">
      <w:pPr>
        <w:rPr>
          <w:rFonts w:ascii="Arial" w:cs="Arial" w:eastAsia="Arial" w:hAnsi="Arial"/>
          <w:sz w:val="22"/>
          <w:szCs w:val="22"/>
        </w:rPr>
      </w:pPr>
      <w:r w:rsidDel="00000000" w:rsidR="00000000" w:rsidRPr="00000000">
        <w:rPr>
          <w:rFonts w:ascii="Arial" w:cs="Arial" w:eastAsia="Arial" w:hAnsi="Arial"/>
          <w:sz w:val="22"/>
          <w:szCs w:val="22"/>
          <w:rtl w:val="0"/>
        </w:rPr>
        <w:t xml:space="preserve">Проблеми на архитектурното образование в първите десетилетия на ХХІ век</w:t>
      </w:r>
    </w:p>
    <w:p w:rsidR="00000000" w:rsidDel="00000000" w:rsidP="00000000" w:rsidRDefault="00000000" w:rsidRPr="00000000" w14:paraId="00000024">
      <w:pPr>
        <w:rPr>
          <w:rFonts w:ascii="Arial" w:cs="Arial" w:eastAsia="Arial" w:hAnsi="Arial"/>
          <w:sz w:val="22"/>
          <w:szCs w:val="22"/>
        </w:rPr>
      </w:pPr>
      <w:r w:rsidDel="00000000" w:rsidR="00000000" w:rsidRPr="00000000">
        <w:rPr>
          <w:rFonts w:ascii="Arial" w:cs="Arial" w:eastAsia="Arial" w:hAnsi="Arial"/>
          <w:sz w:val="22"/>
          <w:szCs w:val="22"/>
          <w:rtl w:val="0"/>
        </w:rPr>
        <w:t xml:space="preserve">Българската архитектура 2010 – 2020 г.</w:t>
      </w:r>
    </w:p>
    <w:p w:rsidR="00000000" w:rsidDel="00000000" w:rsidP="00000000" w:rsidRDefault="00000000" w:rsidRPr="00000000" w14:paraId="0000002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В.Информационни издания</w:t>
      </w:r>
      <w:r w:rsidDel="00000000" w:rsidR="00000000" w:rsidRPr="00000000">
        <w:rPr>
          <w:rtl w:val="0"/>
        </w:rPr>
      </w:r>
    </w:p>
    <w:p w:rsidR="00000000" w:rsidDel="00000000" w:rsidP="00000000" w:rsidRDefault="00000000" w:rsidRPr="00000000" w14:paraId="00000027">
      <w:pPr>
        <w:rPr>
          <w:rFonts w:ascii="Arial" w:cs="Arial" w:eastAsia="Arial" w:hAnsi="Arial"/>
          <w:sz w:val="22"/>
          <w:szCs w:val="22"/>
        </w:rPr>
      </w:pPr>
      <w:r w:rsidDel="00000000" w:rsidR="00000000" w:rsidRPr="00000000">
        <w:rPr>
          <w:rFonts w:ascii="Arial" w:cs="Arial" w:eastAsia="Arial" w:hAnsi="Arial"/>
          <w:sz w:val="22"/>
          <w:szCs w:val="22"/>
          <w:rtl w:val="0"/>
        </w:rPr>
        <w:t xml:space="preserve">Информационен бюлетин „Български архитект“</w:t>
      </w:r>
    </w:p>
    <w:p w:rsidR="00000000" w:rsidDel="00000000" w:rsidP="00000000" w:rsidRDefault="00000000" w:rsidRPr="00000000" w14:paraId="00000028">
      <w:pPr>
        <w:rPr>
          <w:rFonts w:ascii="Arial" w:cs="Arial" w:eastAsia="Arial" w:hAnsi="Arial"/>
          <w:sz w:val="22"/>
          <w:szCs w:val="22"/>
        </w:rPr>
      </w:pPr>
      <w:r w:rsidDel="00000000" w:rsidR="00000000" w:rsidRPr="00000000">
        <w:rPr>
          <w:rFonts w:ascii="Arial" w:cs="Arial" w:eastAsia="Arial" w:hAnsi="Arial"/>
          <w:sz w:val="22"/>
          <w:szCs w:val="22"/>
          <w:rtl w:val="0"/>
        </w:rPr>
        <w:t xml:space="preserve">Сборници с материали от ХХХ, ХХХІ ХХХІІ и ХХХІV ОС на САБ.</w:t>
      </w:r>
    </w:p>
    <w:p w:rsidR="00000000" w:rsidDel="00000000" w:rsidP="00000000" w:rsidRDefault="00000000" w:rsidRPr="00000000" w14:paraId="0000002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Приложение № 4</w:t>
      </w:r>
    </w:p>
    <w:p w:rsidR="00000000" w:rsidDel="00000000" w:rsidP="00000000" w:rsidRDefault="00000000" w:rsidRPr="00000000" w14:paraId="0000002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Обява за конкурс за „Издател на списание „Архитектура“</w:t>
      </w:r>
    </w:p>
    <w:p w:rsidR="00000000" w:rsidDel="00000000" w:rsidP="00000000" w:rsidRDefault="00000000" w:rsidRPr="00000000" w14:paraId="0000002D">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Съюзът на архитектите в България обявява конкурс за „Издател на списание Архитектура“ при спазване на изискванията, отразени в концепцията за издаване на списанието, приета от УС на САБ, на заседанието от 24.01.2020 г. Предложения се приемат в деловодството на САБ, всеки работен денот 9,00 до 18,00 часа, до 16.03.2020 г.</w:t>
      </w:r>
      <w:r w:rsidDel="00000000" w:rsidR="00000000" w:rsidRPr="00000000">
        <w:rPr>
          <w:rtl w:val="0"/>
        </w:rPr>
      </w:r>
    </w:p>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КОНЦЕПЦИЯ</w:t>
      </w: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за издаване на сп. „Архитектура“</w:t>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за периода 2019 -2023 г.</w:t>
      </w:r>
    </w:p>
    <w:p w:rsidR="00000000" w:rsidDel="00000000" w:rsidP="00000000" w:rsidRDefault="00000000" w:rsidRPr="00000000" w14:paraId="0000003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А. Основни положения</w:t>
      </w:r>
      <w:r w:rsidDel="00000000" w:rsidR="00000000" w:rsidRPr="00000000">
        <w:rPr>
          <w:rtl w:val="0"/>
        </w:rPr>
      </w:r>
    </w:p>
    <w:p w:rsidR="00000000" w:rsidDel="00000000" w:rsidP="00000000" w:rsidRDefault="00000000" w:rsidRPr="00000000" w14:paraId="0000003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 Сп. „Архитектура“ е издание на САБ. Търговската малка сп.“Архитектура“ е собственост на САБ.</w:t>
      </w:r>
    </w:p>
    <w:p w:rsidR="00000000" w:rsidDel="00000000" w:rsidP="00000000" w:rsidRDefault="00000000" w:rsidRPr="00000000" w14:paraId="0000003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 Сп.“Архитектура“ се разпространява на хартиен носител и чрез web site. https:// bularch.eu</w:t>
      </w:r>
    </w:p>
    <w:p w:rsidR="00000000" w:rsidDel="00000000" w:rsidP="00000000" w:rsidRDefault="00000000" w:rsidRPr="00000000" w14:paraId="0000003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Основната цел в издаването на списанието е да отразява, защитава и популяризира качествената съвременна българска архитектура.</w:t>
      </w:r>
    </w:p>
    <w:p w:rsidR="00000000" w:rsidDel="00000000" w:rsidP="00000000" w:rsidRDefault="00000000" w:rsidRPr="00000000" w14:paraId="0000003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 САБ осигурява финансирането на списването, издаването и разпространението на списанието със: собствени средства, сътрудничество с КАБ, чрез спонсори и рекламодатели.</w:t>
      </w:r>
    </w:p>
    <w:p w:rsidR="00000000" w:rsidDel="00000000" w:rsidP="00000000" w:rsidRDefault="00000000" w:rsidRPr="00000000" w14:paraId="0000003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 За цялостната дейност по функционирането на списание „Архитектура“ САБ сключва договор с юридическо лице (“Издател“) притежаващо съответните права.</w:t>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 САБ, чрез УС на САБ и определени от него структури и правила, контролира качеството и насочва съдържанието на публикуваните материали.</w:t>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Б. Изисквания към тематиката и общата структура на сп. „Архитектура“</w:t>
      </w:r>
      <w:r w:rsidDel="00000000" w:rsidR="00000000" w:rsidRPr="00000000">
        <w:rPr>
          <w:rtl w:val="0"/>
        </w:rPr>
      </w:r>
    </w:p>
    <w:p w:rsidR="00000000" w:rsidDel="00000000" w:rsidP="00000000" w:rsidRDefault="00000000" w:rsidRPr="00000000" w14:paraId="0000003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Сп.“Архитектура“ устойчиво ще поддържа три тематични блока:</w:t>
      </w:r>
    </w:p>
    <w:p w:rsidR="00000000" w:rsidDel="00000000" w:rsidP="00000000" w:rsidRDefault="00000000" w:rsidRPr="00000000" w14:paraId="0000003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„Архитектурно творчество“ (Съвременна архитектура у нас и по света. Информационни и критични материали).</w:t>
      </w:r>
    </w:p>
    <w:p w:rsidR="00000000" w:rsidDel="00000000" w:rsidP="00000000" w:rsidRDefault="00000000" w:rsidRPr="00000000" w14:paraId="0000003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“Архитектурни дискусии” (материали с дискусионен характер по теми, определени от архитектурния живот).</w:t>
      </w:r>
    </w:p>
    <w:p w:rsidR="00000000" w:rsidDel="00000000" w:rsidP="00000000" w:rsidRDefault="00000000" w:rsidRPr="00000000" w14:paraId="0000003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„Архитектурна история и теория“ (рецензирани научни публикации)</w:t>
      </w:r>
    </w:p>
    <w:p w:rsidR="00000000" w:rsidDel="00000000" w:rsidP="00000000" w:rsidRDefault="00000000" w:rsidRPr="00000000" w14:paraId="0000003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 Препоръчва се оформянето на тематичните броеве (цялостно по една тема, с водеща тема, за отделни градове и територии).</w:t>
      </w:r>
    </w:p>
    <w:p w:rsidR="00000000" w:rsidDel="00000000" w:rsidP="00000000" w:rsidRDefault="00000000" w:rsidRPr="00000000" w14:paraId="0000003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 Сп. „Архитектура“ трябва да отразява всички основни направления на архитектурното творчество: пространствено и устройствено планиране, архитектура на сградите и съоръженията, ландшафтна архитектура, интериор, дизайн, синтез с пластични изкуства и др.</w:t>
      </w:r>
    </w:p>
    <w:p w:rsidR="00000000" w:rsidDel="00000000" w:rsidP="00000000" w:rsidRDefault="00000000" w:rsidRPr="00000000" w14:paraId="0000004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10.В списанието могат да се отпечатват до 20 стр. Рекламни материали и материали с продуктово позициониране, оформени в отделни блокове.</w:t>
      </w:r>
    </w:p>
    <w:p w:rsidR="00000000" w:rsidDel="00000000" w:rsidP="00000000" w:rsidRDefault="00000000" w:rsidRPr="00000000" w14:paraId="00000041">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В. Технически изисквания към изданието на хартиен носител</w:t>
      </w:r>
      <w:r w:rsidDel="00000000" w:rsidR="00000000" w:rsidRPr="00000000">
        <w:rPr>
          <w:rtl w:val="0"/>
        </w:rPr>
      </w:r>
    </w:p>
    <w:p w:rsidR="00000000" w:rsidDel="00000000" w:rsidP="00000000" w:rsidRDefault="00000000" w:rsidRPr="00000000" w14:paraId="0000004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 Сп.“Архитектура“ излиза в 4(6) броя годишно с обем 100-120 стр. Всеки.</w:t>
      </w:r>
    </w:p>
    <w:p w:rsidR="00000000" w:rsidDel="00000000" w:rsidP="00000000" w:rsidRDefault="00000000" w:rsidRPr="00000000" w14:paraId="0000004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12.Формат на изданието А4; хартиено тяло – 100 гр. Офсет, мат; корици -250 гр.</w:t>
      </w:r>
    </w:p>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 Печат – пълноцветен, 100% от страниците.</w:t>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 Технически изисквания към изходните материали:</w:t>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текст: обем между 6000 и 10000 знака;</w:t>
      </w:r>
    </w:p>
    <w:p w:rsidR="00000000" w:rsidDel="00000000" w:rsidP="00000000" w:rsidRDefault="00000000" w:rsidRPr="00000000" w14:paraId="0000004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илюстрации: между 5 и 15 на брой, в TIFF, JPG формат с резолюция минимум 300 пиксела на инч и минимум 800 КВ.</w:t>
      </w:r>
    </w:p>
    <w:p w:rsidR="00000000" w:rsidDel="00000000" w:rsidP="00000000" w:rsidRDefault="00000000" w:rsidRPr="00000000" w14:paraId="0000004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 Език: български и резюмета на английски език. По изключение, по заявка на САБ, могат да бъдат оформени двуезични броеве.</w:t>
      </w:r>
    </w:p>
    <w:p w:rsidR="00000000" w:rsidDel="00000000" w:rsidP="00000000" w:rsidRDefault="00000000" w:rsidRPr="00000000" w14:paraId="0000004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 Тираж: 2000 бр. За САБ. Допълнителен (Завишен) тираж по поръчка на САБ се договарят допълнително. Издателят може да изготвя допълнителен тираж за своя сметка и разпространение.</w:t>
      </w:r>
    </w:p>
    <w:p w:rsidR="00000000" w:rsidDel="00000000" w:rsidP="00000000" w:rsidRDefault="00000000" w:rsidRPr="00000000" w14:paraId="0000004A">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Г.Финансиране, маркетинг и разпространение</w:t>
      </w:r>
      <w:r w:rsidDel="00000000" w:rsidR="00000000" w:rsidRPr="00000000">
        <w:rPr>
          <w:rtl w:val="0"/>
        </w:rPr>
      </w:r>
    </w:p>
    <w:p w:rsidR="00000000" w:rsidDel="00000000" w:rsidP="00000000" w:rsidRDefault="00000000" w:rsidRPr="00000000" w14:paraId="0000004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 Производствените разходи на списанието се финансират от САБ, КАБ, спонсори, рекламодатели и от автори на материали  /</w:t>
      </w:r>
      <w:r w:rsidDel="00000000" w:rsidR="00000000" w:rsidRPr="00000000">
        <w:rPr>
          <w:rFonts w:ascii="Arial" w:cs="Arial" w:eastAsia="Arial" w:hAnsi="Arial"/>
          <w:i w:val="1"/>
          <w:sz w:val="22"/>
          <w:szCs w:val="22"/>
          <w:rtl w:val="0"/>
        </w:rPr>
        <w:t xml:space="preserve">при посочените по-долу в чл.19 условия</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 Издателят начислява печалба върху производствените разходи и получава отчисления от получените средства от рекламодатели.Размера на тези две пера се договарят предварително.</w:t>
      </w:r>
    </w:p>
    <w:p w:rsidR="00000000" w:rsidDel="00000000" w:rsidP="00000000" w:rsidRDefault="00000000" w:rsidRPr="00000000" w14:paraId="0000004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19. Авторите на научни публикации, за регистриране на в НАЦИД, поемат разходите за рецензиране. Техният размер се определя със Заповед на Председателя на УС на САБ.</w:t>
      </w:r>
    </w:p>
    <w:p w:rsidR="00000000" w:rsidDel="00000000" w:rsidP="00000000" w:rsidRDefault="00000000" w:rsidRPr="00000000" w14:paraId="0000004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 Списанието се разпространява</w:t>
      </w:r>
    </w:p>
    <w:p w:rsidR="00000000" w:rsidDel="00000000" w:rsidP="00000000" w:rsidRDefault="00000000" w:rsidRPr="00000000" w14:paraId="0000004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безплатно между членовете на САБ, общини и др. по списък, одобряван ежегодно от Председателя на УС на САБ</w:t>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с годишен абонамент</w:t>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в свободна продажба</w:t>
      </w:r>
    </w:p>
    <w:p w:rsidR="00000000" w:rsidDel="00000000" w:rsidP="00000000" w:rsidRDefault="00000000" w:rsidRPr="00000000" w14:paraId="0000005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чрез бройки, целево поръчани от различни структури, по тяхна заявка</w:t>
      </w:r>
    </w:p>
    <w:p w:rsidR="00000000" w:rsidDel="00000000" w:rsidP="00000000" w:rsidRDefault="00000000" w:rsidRPr="00000000" w14:paraId="00000053">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Д. Задължения на САБ по отношение на издателския процес</w:t>
      </w:r>
      <w:r w:rsidDel="00000000" w:rsidR="00000000" w:rsidRPr="00000000">
        <w:rPr>
          <w:rtl w:val="0"/>
        </w:rPr>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21. САБ се задължава да съдейства за осигуряването на материали за отпечатване в изданието</w:t>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22.САБ се задължава да финансира издаването според договорените разчети</w:t>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23. САБ се задължава да разпространява своевременно договорения за безплатно разпространение тираж</w:t>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Е. Задължения на „Издателя“</w:t>
      </w: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24. Издателят се задължава да осигурява цялостно издателския процес: редактиране, коректури, предпечат, художествено оформление, осигуряване на отпечатване</w:t>
      </w:r>
    </w:p>
    <w:p w:rsidR="00000000" w:rsidDel="00000000" w:rsidP="00000000" w:rsidRDefault="00000000" w:rsidRPr="00000000" w14:paraId="0000005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 Издателят се задължава да спазва годишния график за издаване на броевете и техническите параметри, заложени в концепцията</w:t>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26. Издателят се задължава да спазва финансовите параметри, заложени в тази концепция.</w:t>
      </w:r>
    </w:p>
    <w:p w:rsidR="00000000" w:rsidDel="00000000" w:rsidP="00000000" w:rsidRDefault="00000000" w:rsidRPr="00000000" w14:paraId="0000005B">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Ж. Авторски права</w:t>
      </w:r>
      <w:r w:rsidDel="00000000" w:rsidR="00000000" w:rsidRPr="00000000">
        <w:rPr>
          <w:rtl w:val="0"/>
        </w:rPr>
      </w:r>
    </w:p>
    <w:p w:rsidR="00000000" w:rsidDel="00000000" w:rsidP="00000000" w:rsidRDefault="00000000" w:rsidRPr="00000000" w14:paraId="0000005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Авторските права върху списанието се разпределят, както следва:</w:t>
      </w:r>
    </w:p>
    <w:p w:rsidR="00000000" w:rsidDel="00000000" w:rsidP="00000000" w:rsidRDefault="00000000" w:rsidRPr="00000000" w14:paraId="0000005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върху художествената концепция и графичното оформление – между „издателя“ и художниците – оформление по споразумение</w:t>
      </w:r>
    </w:p>
    <w:p w:rsidR="00000000" w:rsidDel="00000000" w:rsidP="00000000" w:rsidRDefault="00000000" w:rsidRPr="00000000" w14:paraId="0000005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върху авторските материали – 30% за издателя и 70% за авторите за срок от 10 години</w:t>
      </w:r>
    </w:p>
    <w:p w:rsidR="00000000" w:rsidDel="00000000" w:rsidP="00000000" w:rsidRDefault="00000000" w:rsidRPr="00000000" w14:paraId="000000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върху цялостния продукт – 100% за собственика на търговската марка (САБ)</w:t>
      </w:r>
    </w:p>
    <w:p w:rsidR="00000000" w:rsidDel="00000000" w:rsidP="00000000" w:rsidRDefault="00000000" w:rsidRPr="00000000" w14:paraId="00000060">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3. Финансови параметри</w:t>
      </w:r>
      <w:r w:rsidDel="00000000" w:rsidR="00000000" w:rsidRPr="00000000">
        <w:rPr>
          <w:rtl w:val="0"/>
        </w:rPr>
      </w:r>
    </w:p>
    <w:p w:rsidR="00000000" w:rsidDel="00000000" w:rsidP="00000000" w:rsidRDefault="00000000" w:rsidRPr="00000000" w14:paraId="000000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Общата сума, осигурявана от САБ е в размер на 28000, 00 лв.</w:t>
      </w:r>
    </w:p>
    <w:p w:rsidR="00000000" w:rsidDel="00000000" w:rsidP="00000000" w:rsidRDefault="00000000" w:rsidRPr="00000000" w14:paraId="0000006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Приложение № 5</w:t>
      </w:r>
    </w:p>
    <w:p w:rsidR="00000000" w:rsidDel="00000000" w:rsidP="00000000" w:rsidRDefault="00000000" w:rsidRPr="00000000" w14:paraId="0000006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Относно: Виртуална дискусия за съвременната българска архитектура 2010-2020 г.  </w:t>
      </w:r>
    </w:p>
    <w:p w:rsidR="00000000" w:rsidDel="00000000" w:rsidP="00000000" w:rsidRDefault="00000000" w:rsidRPr="00000000" w14:paraId="0000006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УВАЖАЕМИ КОЛЕГИ,</w:t>
      </w:r>
    </w:p>
    <w:p w:rsidR="00000000" w:rsidDel="00000000" w:rsidP="00000000" w:rsidRDefault="00000000" w:rsidRPr="00000000" w14:paraId="0000006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В изпълнение на Мандатната програма за периода 2020-2023 г., се обръщам към вас и дружествата с предложение за участие във виртуална дискусия за съвременната българска архитектура за периода 2010-2020 г.</w:t>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Тематичен план</w:t>
      </w:r>
    </w:p>
    <w:p w:rsidR="00000000" w:rsidDel="00000000" w:rsidP="00000000" w:rsidRDefault="00000000" w:rsidRPr="00000000" w14:paraId="0000006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 Археологията в градовете и ландшафта.</w:t>
      </w:r>
    </w:p>
    <w:p w:rsidR="00000000" w:rsidDel="00000000" w:rsidP="00000000" w:rsidRDefault="00000000" w:rsidRPr="00000000" w14:paraId="0000006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 Архитектурното наследство от 19-ти и 20-ти век в съвременната градска среда.</w:t>
      </w:r>
    </w:p>
    <w:p w:rsidR="00000000" w:rsidDel="00000000" w:rsidP="00000000" w:rsidRDefault="00000000" w:rsidRPr="00000000" w14:paraId="0000006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Градските центрове на големите градове.</w:t>
      </w:r>
    </w:p>
    <w:p w:rsidR="00000000" w:rsidDel="00000000" w:rsidP="00000000" w:rsidRDefault="00000000" w:rsidRPr="00000000" w14:paraId="000000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 Панелните сгради – минало и бъдеще.</w:t>
      </w:r>
    </w:p>
    <w:p w:rsidR="00000000" w:rsidDel="00000000" w:rsidP="00000000" w:rsidRDefault="00000000" w:rsidRPr="00000000" w14:paraId="0000006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 Съвременното жилищно строителство и жилищна среда.</w:t>
      </w:r>
    </w:p>
    <w:p w:rsidR="00000000" w:rsidDel="00000000" w:rsidP="00000000" w:rsidRDefault="00000000" w:rsidRPr="00000000" w14:paraId="0000006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 Високите сгради и „небостъргачите“.</w:t>
      </w:r>
    </w:p>
    <w:p w:rsidR="00000000" w:rsidDel="00000000" w:rsidP="00000000" w:rsidRDefault="00000000" w:rsidRPr="00000000" w14:paraId="0000007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Черноморското крайбрежие: 15 години след приемането на Закона, в курортните комплекси и извън тях.</w:t>
      </w:r>
    </w:p>
    <w:p w:rsidR="00000000" w:rsidDel="00000000" w:rsidP="00000000" w:rsidRDefault="00000000" w:rsidRPr="00000000" w14:paraId="0000007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 Планината Витоша, София и Перник.</w:t>
      </w:r>
    </w:p>
    <w:p w:rsidR="00000000" w:rsidDel="00000000" w:rsidP="00000000" w:rsidRDefault="00000000" w:rsidRPr="00000000" w14:paraId="0000007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 София – проблеми на ОУП.</w:t>
      </w:r>
    </w:p>
    <w:p w:rsidR="00000000" w:rsidDel="00000000" w:rsidP="00000000" w:rsidRDefault="00000000" w:rsidRPr="00000000" w14:paraId="0000007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 Градските паркове и зелените системи в големите градове.</w:t>
      </w:r>
    </w:p>
    <w:p w:rsidR="00000000" w:rsidDel="00000000" w:rsidP="00000000" w:rsidRDefault="00000000" w:rsidRPr="00000000" w14:paraId="0000007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 Съвременна култува архитектура.</w:t>
      </w:r>
    </w:p>
    <w:p w:rsidR="00000000" w:rsidDel="00000000" w:rsidP="00000000" w:rsidRDefault="00000000" w:rsidRPr="00000000" w14:paraId="0000007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 Старите и нови индустриални зони.</w:t>
      </w:r>
    </w:p>
    <w:p w:rsidR="00000000" w:rsidDel="00000000" w:rsidP="00000000" w:rsidRDefault="00000000" w:rsidRPr="00000000" w14:paraId="0000007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 Технопаркове и бизнес центрове. Офис сградите.</w:t>
      </w:r>
    </w:p>
    <w:p w:rsidR="00000000" w:rsidDel="00000000" w:rsidP="00000000" w:rsidRDefault="00000000" w:rsidRPr="00000000" w14:paraId="0000007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 Умни сгради. Умни градове.</w:t>
      </w:r>
    </w:p>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 Градска мобилност и транспортна инфраструктура.</w:t>
      </w:r>
    </w:p>
    <w:p w:rsidR="00000000" w:rsidDel="00000000" w:rsidP="00000000" w:rsidRDefault="00000000" w:rsidRPr="00000000" w14:paraId="0000007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 Проблеми на синтеза на архитектурата с изкуствата в съвременната градска среда.</w:t>
      </w:r>
    </w:p>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 Традиционни и нови материали и тяхната роля в развитието на архитектурата.</w:t>
      </w:r>
    </w:p>
    <w:p w:rsidR="00000000" w:rsidDel="00000000" w:rsidP="00000000" w:rsidRDefault="00000000" w:rsidRPr="00000000" w14:paraId="0000007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Този план има предварителен насочващ характер и не изключва предложения, мнения и коментари и по други актуални за българската архитектура от последното десетилетие теми.</w:t>
      </w:r>
    </w:p>
    <w:p w:rsidR="00000000" w:rsidDel="00000000" w:rsidP="00000000" w:rsidRDefault="00000000" w:rsidRPr="00000000" w14:paraId="0000007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Вашите становища, мнения и коментари изпращайте на електронния адрес на САБ: </w:t>
      </w:r>
      <w:hyperlink r:id="rId6">
        <w:r w:rsidDel="00000000" w:rsidR="00000000" w:rsidRPr="00000000">
          <w:rPr>
            <w:rFonts w:ascii="Arial" w:cs="Arial" w:eastAsia="Arial" w:hAnsi="Arial"/>
            <w:color w:val="1f4e79"/>
            <w:sz w:val="22"/>
            <w:szCs w:val="22"/>
            <w:u w:val="single"/>
            <w:rtl w:val="0"/>
          </w:rPr>
          <w:t xml:space="preserve">sab@bularch.org</w:t>
        </w:r>
      </w:hyperlink>
      <w:r w:rsidDel="00000000" w:rsidR="00000000" w:rsidRPr="00000000">
        <w:rPr>
          <w:rFonts w:ascii="Arial" w:cs="Arial" w:eastAsia="Arial" w:hAnsi="Arial"/>
          <w:sz w:val="22"/>
          <w:szCs w:val="22"/>
          <w:rtl w:val="0"/>
        </w:rPr>
        <w:t xml:space="preserve">, с наименование на писмото „За Дискусията за българската архитектура“.</w:t>
      </w:r>
    </w:p>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През м. март – април се предвиждат работни срещи и дискусии „на живо“. Направените изводи и бележките от дискусията до 10.04. т.г. ще бъдат отразени в основния доклад на ХХХІ ОС. Дискусията ще продължи и след това, по Дружествата и работните групи, за да завърши с национална конференция през м. октомври.</w:t>
      </w:r>
    </w:p>
    <w:p w:rsidR="00000000" w:rsidDel="00000000" w:rsidP="00000000" w:rsidRDefault="00000000" w:rsidRPr="00000000" w14:paraId="0000007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rPr>
          <w:rFonts w:ascii="Arial" w:cs="Arial" w:eastAsia="Arial" w:hAnsi="Arial"/>
          <w:sz w:val="22"/>
          <w:szCs w:val="22"/>
        </w:rPr>
      </w:pPr>
      <w:r w:rsidDel="00000000" w:rsidR="00000000" w:rsidRPr="00000000">
        <w:rPr>
          <w:rFonts w:ascii="Arial" w:cs="Arial" w:eastAsia="Arial" w:hAnsi="Arial"/>
          <w:sz w:val="22"/>
          <w:szCs w:val="22"/>
          <w:rtl w:val="0"/>
        </w:rPr>
        <w:tab/>
        <w:tab/>
        <w:tab/>
        <w:tab/>
        <w:tab/>
        <w:t xml:space="preserve">Председател на УС на САБ:                  /п/</w:t>
      </w:r>
    </w:p>
    <w:p w:rsidR="00000000" w:rsidDel="00000000" w:rsidP="00000000" w:rsidRDefault="00000000" w:rsidRPr="00000000" w14:paraId="00000080">
      <w:pPr>
        <w:jc w:val="right"/>
        <w:rPr>
          <w:rFonts w:ascii="Arial" w:cs="Arial" w:eastAsia="Arial" w:hAnsi="Arial"/>
          <w:sz w:val="22"/>
          <w:szCs w:val="22"/>
        </w:rPr>
      </w:pPr>
      <w:r w:rsidDel="00000000" w:rsidR="00000000" w:rsidRPr="00000000">
        <w:rPr>
          <w:rFonts w:ascii="Arial" w:cs="Arial" w:eastAsia="Arial" w:hAnsi="Arial"/>
          <w:sz w:val="22"/>
          <w:szCs w:val="22"/>
          <w:rtl w:val="0"/>
        </w:rPr>
        <w:tab/>
        <w:tab/>
        <w:tab/>
        <w:tab/>
        <w:tab/>
        <w:t xml:space="preserve">/проф. д-р. арх. Тодор Булев/</w:t>
      </w:r>
    </w:p>
    <w:p w:rsidR="00000000" w:rsidDel="00000000" w:rsidP="00000000" w:rsidRDefault="00000000" w:rsidRPr="00000000" w14:paraId="00000081">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3">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4">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5">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6">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7">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9">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A">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B">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C">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Приложение № 6</w:t>
      </w:r>
    </w:p>
    <w:p w:rsidR="00000000" w:rsidDel="00000000" w:rsidP="00000000" w:rsidRDefault="00000000" w:rsidRPr="00000000" w14:paraId="0000008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E">
      <w:pP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Становище на САБ до Конституционния съд, относно конституционно дело № 11/2021 г.</w:t>
      </w:r>
    </w:p>
    <w:p w:rsidR="00000000" w:rsidDel="00000000" w:rsidP="00000000" w:rsidRDefault="00000000" w:rsidRPr="00000000" w14:paraId="0000008F">
      <w:pP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 </w:t>
      </w:r>
    </w:p>
    <w:p w:rsidR="00000000" w:rsidDel="00000000" w:rsidP="00000000" w:rsidRDefault="00000000" w:rsidRPr="00000000" w14:paraId="00000090">
      <w:pPr>
        <w:rPr>
          <w:rFonts w:ascii="Arial" w:cs="Arial" w:eastAsia="Arial" w:hAnsi="Arial"/>
          <w:sz w:val="22"/>
          <w:szCs w:val="22"/>
        </w:rPr>
      </w:pPr>
      <w:r w:rsidDel="00000000" w:rsidR="00000000" w:rsidRPr="00000000">
        <w:rPr>
          <w:rFonts w:ascii="Arial" w:cs="Arial" w:eastAsia="Arial" w:hAnsi="Arial"/>
          <w:i w:val="1"/>
          <w:sz w:val="22"/>
          <w:szCs w:val="22"/>
          <w:rtl w:val="0"/>
        </w:rPr>
        <w:tab/>
      </w:r>
      <w:r w:rsidDel="00000000" w:rsidR="00000000" w:rsidRPr="00000000">
        <w:rPr>
          <w:rFonts w:ascii="Arial" w:cs="Arial" w:eastAsia="Arial" w:hAnsi="Arial"/>
          <w:sz w:val="22"/>
          <w:szCs w:val="22"/>
          <w:rtl w:val="0"/>
        </w:rPr>
        <w:tab/>
        <w:tab/>
        <w:tab/>
        <w:tab/>
        <w:t xml:space="preserve">                                                    ДО</w:t>
      </w:r>
    </w:p>
    <w:p w:rsidR="00000000" w:rsidDel="00000000" w:rsidP="00000000" w:rsidRDefault="00000000" w:rsidRPr="00000000" w14:paraId="00000091">
      <w:pPr>
        <w:jc w:val="right"/>
        <w:rPr>
          <w:rFonts w:ascii="Arial" w:cs="Arial" w:eastAsia="Arial" w:hAnsi="Arial"/>
          <w:sz w:val="22"/>
          <w:szCs w:val="22"/>
        </w:rPr>
      </w:pPr>
      <w:r w:rsidDel="00000000" w:rsidR="00000000" w:rsidRPr="00000000">
        <w:rPr>
          <w:rFonts w:ascii="Arial" w:cs="Arial" w:eastAsia="Arial" w:hAnsi="Arial"/>
          <w:sz w:val="22"/>
          <w:szCs w:val="22"/>
          <w:rtl w:val="0"/>
        </w:rPr>
        <w:tab/>
        <w:tab/>
        <w:tab/>
        <w:tab/>
        <w:tab/>
        <w:t xml:space="preserve">КОНСТИТУЦИОННИЯ СЪД</w:t>
      </w:r>
    </w:p>
    <w:p w:rsidR="00000000" w:rsidDel="00000000" w:rsidP="00000000" w:rsidRDefault="00000000" w:rsidRPr="00000000" w14:paraId="00000092">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НА РЕПУБЛИКА БЪЛГАРИЯ</w:t>
      </w:r>
    </w:p>
    <w:p w:rsidR="00000000" w:rsidDel="00000000" w:rsidP="00000000" w:rsidRDefault="00000000" w:rsidRPr="00000000" w14:paraId="00000093">
      <w:pPr>
        <w:rPr>
          <w:rFonts w:ascii="Arial" w:cs="Arial" w:eastAsia="Arial" w:hAnsi="Arial"/>
          <w:sz w:val="22"/>
          <w:szCs w:val="22"/>
        </w:rPr>
      </w:pPr>
      <w:r w:rsidDel="00000000" w:rsidR="00000000" w:rsidRPr="00000000">
        <w:rPr>
          <w:rFonts w:ascii="Arial" w:cs="Arial" w:eastAsia="Arial" w:hAnsi="Arial"/>
          <w:sz w:val="22"/>
          <w:szCs w:val="22"/>
          <w:rtl w:val="0"/>
        </w:rPr>
        <w:tab/>
        <w:tab/>
        <w:tab/>
      </w:r>
    </w:p>
    <w:p w:rsidR="00000000" w:rsidDel="00000000" w:rsidP="00000000" w:rsidRDefault="00000000" w:rsidRPr="00000000" w14:paraId="00000094">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СТАНОВИЩЕ</w:t>
      </w:r>
      <w:r w:rsidDel="00000000" w:rsidR="00000000" w:rsidRPr="00000000">
        <w:rPr>
          <w:rtl w:val="0"/>
        </w:rPr>
      </w:r>
    </w:p>
    <w:p w:rsidR="00000000" w:rsidDel="00000000" w:rsidP="00000000" w:rsidRDefault="00000000" w:rsidRPr="00000000" w14:paraId="0000009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от Съюза на архитектите в България</w:t>
      </w:r>
    </w:p>
    <w:p w:rsidR="00000000" w:rsidDel="00000000" w:rsidP="00000000" w:rsidRDefault="00000000" w:rsidRPr="00000000" w14:paraId="0000009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ЕИК: 000703479, ГР. София, ул. „Кракра“ №11,</w:t>
      </w:r>
    </w:p>
    <w:p w:rsidR="00000000" w:rsidDel="00000000" w:rsidP="00000000" w:rsidRDefault="00000000" w:rsidRPr="00000000" w14:paraId="0000009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представляван от проф.д-р арх. Тодор Веселинов Булев</w:t>
      </w:r>
    </w:p>
    <w:p w:rsidR="00000000" w:rsidDel="00000000" w:rsidP="00000000" w:rsidRDefault="00000000" w:rsidRPr="00000000" w14:paraId="0000009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Председател на УС на САБ</w:t>
      </w:r>
    </w:p>
    <w:p w:rsidR="00000000" w:rsidDel="00000000" w:rsidP="00000000" w:rsidRDefault="00000000" w:rsidRPr="00000000" w14:paraId="0000009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Относно конституционно дело № 11/2021</w:t>
      </w:r>
      <w:r w:rsidDel="00000000" w:rsidR="00000000" w:rsidRPr="00000000">
        <w:rPr>
          <w:rtl w:val="0"/>
        </w:rPr>
      </w:r>
    </w:p>
    <w:p w:rsidR="00000000" w:rsidDel="00000000" w:rsidP="00000000" w:rsidRDefault="00000000" w:rsidRPr="00000000" w14:paraId="0000009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rPr>
          <w:rFonts w:ascii="Arial" w:cs="Arial" w:eastAsia="Arial" w:hAnsi="Arial"/>
          <w:b w:val="1"/>
          <w:sz w:val="22"/>
          <w:szCs w:val="22"/>
        </w:rPr>
      </w:pPr>
      <w:r w:rsidDel="00000000" w:rsidR="00000000" w:rsidRPr="00000000">
        <w:rPr>
          <w:rFonts w:ascii="Arial" w:cs="Arial" w:eastAsia="Arial" w:hAnsi="Arial"/>
          <w:sz w:val="22"/>
          <w:szCs w:val="22"/>
          <w:rtl w:val="0"/>
        </w:rPr>
        <w:tab/>
        <w:tab/>
      </w:r>
      <w:r w:rsidDel="00000000" w:rsidR="00000000" w:rsidRPr="00000000">
        <w:rPr>
          <w:rFonts w:ascii="Arial" w:cs="Arial" w:eastAsia="Arial" w:hAnsi="Arial"/>
          <w:b w:val="1"/>
          <w:sz w:val="22"/>
          <w:szCs w:val="22"/>
          <w:rtl w:val="0"/>
        </w:rPr>
        <w:t xml:space="preserve">Уважаеми дами и господа конституционни съдии,</w:t>
      </w:r>
    </w:p>
    <w:p w:rsidR="00000000" w:rsidDel="00000000" w:rsidP="00000000" w:rsidRDefault="00000000" w:rsidRPr="00000000" w14:paraId="0000009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Съгласно постъпилата, на основание чл.20а, ал. 3 от Правилника за организацията и дейността на Конституционния съд, покана за предоставяне становище по конституционно дело № 11/2021 г. , Съюзът на архитектите в България изразява убеждението си за основателност на искането на Омбудсмана, като предлага следните съображения и аргументи:</w:t>
      </w:r>
    </w:p>
    <w:p w:rsidR="00000000" w:rsidDel="00000000" w:rsidP="00000000" w:rsidRDefault="00000000" w:rsidRPr="00000000" w14:paraId="0000009E">
      <w:pPr>
        <w:jc w:val="both"/>
        <w:rPr>
          <w:rFonts w:ascii="Arial" w:cs="Arial" w:eastAsia="Arial" w:hAnsi="Arial"/>
          <w:sz w:val="22"/>
          <w:szCs w:val="22"/>
        </w:rPr>
      </w:pP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u w:val="single"/>
          <w:rtl w:val="0"/>
        </w:rPr>
        <w:t xml:space="preserve">Относно чл.148, ал.16 ЗУТ</w:t>
      </w:r>
      <w:r w:rsidDel="00000000" w:rsidR="00000000" w:rsidRPr="00000000">
        <w:rPr>
          <w:rtl w:val="0"/>
        </w:rPr>
      </w:r>
    </w:p>
    <w:p w:rsidR="00000000" w:rsidDel="00000000" w:rsidP="00000000" w:rsidRDefault="00000000" w:rsidRPr="00000000" w14:paraId="0000009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Идеята на законодателя да допуска започването на строителство след приложена регулация принципно е правилна. Но </w:t>
      </w:r>
      <w:r w:rsidDel="00000000" w:rsidR="00000000" w:rsidRPr="00000000">
        <w:rPr>
          <w:rFonts w:ascii="Arial" w:cs="Arial" w:eastAsia="Arial" w:hAnsi="Arial"/>
          <w:sz w:val="22"/>
          <w:szCs w:val="22"/>
          <w:u w:val="single"/>
          <w:rtl w:val="0"/>
        </w:rPr>
        <w:t xml:space="preserve">прилагането на уличната регулация при всички случаи е отговорност на общините </w:t>
      </w:r>
      <w:r w:rsidDel="00000000" w:rsidR="00000000" w:rsidRPr="00000000">
        <w:rPr>
          <w:rFonts w:ascii="Arial" w:cs="Arial" w:eastAsia="Arial" w:hAnsi="Arial"/>
          <w:sz w:val="22"/>
          <w:szCs w:val="22"/>
          <w:rtl w:val="0"/>
        </w:rPr>
        <w:t xml:space="preserve">– те имат право да отчуждават имоти, които попадат в уличната регулация, срещу равностойно обезщетение за собствениците. Новата уредба обаче не съдържа гаранции, че тази основна задача на общините ще бъде изпълнявана в общ интерес и в точно указан срок, а вместо това създава предпоставки да бъде ограничено правото на строеж на различните субекти. Текстът на чл.148, ал. 16 допуска негативни последици да възникнат за всяко лице, което има намерение да реализира право на строеж върху недвижим имот в рамките на подробния устройствен план, защото няма да получи разрешение за строеж, ако планът не е плиложен. Така на практика несправедливо се ограничава правото на собственост на гражданите и юридическите лица, както и реализацията на възможностите, което това право предоставя.</w:t>
      </w:r>
    </w:p>
    <w:p w:rsidR="00000000" w:rsidDel="00000000" w:rsidP="00000000" w:rsidRDefault="00000000" w:rsidRPr="00000000" w14:paraId="000000A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Неопределеността на момента, в който общинската администрация ще приложи уличната регулация съобразно &amp; 22 ал. 1 ЗР ЗУТ, поставя собственика на правото на застрояване в неизгодно положение и в невъзможност да може да реше проблема със собствените си възможности.</w:t>
      </w:r>
    </w:p>
    <w:p w:rsidR="00000000" w:rsidDel="00000000" w:rsidP="00000000" w:rsidRDefault="00000000" w:rsidRPr="00000000" w14:paraId="000000A1">
      <w:pPr>
        <w:jc w:val="both"/>
        <w:rPr>
          <w:rFonts w:ascii="Arial" w:cs="Arial" w:eastAsia="Arial" w:hAnsi="Arial"/>
          <w:sz w:val="22"/>
          <w:szCs w:val="22"/>
        </w:rPr>
      </w:pP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u w:val="single"/>
          <w:rtl w:val="0"/>
        </w:rPr>
        <w:t xml:space="preserve">Относно чл.178, ал.3, т.5 ЗУТ</w:t>
      </w:r>
      <w:r w:rsidDel="00000000" w:rsidR="00000000" w:rsidRPr="00000000">
        <w:rPr>
          <w:rtl w:val="0"/>
        </w:rPr>
      </w:r>
    </w:p>
    <w:p w:rsidR="00000000" w:rsidDel="00000000" w:rsidP="00000000" w:rsidRDefault="00000000" w:rsidRPr="00000000" w14:paraId="000000A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Актовете за въвеждане на строежите в експлоатация удостоверяват, че същите са изпълнени съобразно одобрените инвестициионни проекти, заверената екзекутивна документация, изискванията към строежите по чл. 169, ал.1 и 3 и сключения договор, поради което са годни за ползване. Цитираната нормативна уредба на законово и подзаконово нива не изисква органите, компететни за издаването им, да съобразяват фактическото изпълнение на мероприятията на транспортната инфраструктура при преценка годността на строежа за ползване.</w:t>
      </w:r>
    </w:p>
    <w:p w:rsidR="00000000" w:rsidDel="00000000" w:rsidP="00000000" w:rsidRDefault="00000000" w:rsidRPr="00000000" w14:paraId="000000A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В сравнение с текста, действал до изменението, обн. В ДВ бр. 16/2021 г. с вмъкнатия израз „в териториите със средно и високо застрояване, както и“, се разширява приложното поле на тази ограничителна норма, която изисква улиците, пътищата и алеите да бъдат действително изградени, за да осигуряват нормален достъп до съответния урегулиран имот в изброените територии. Изграждането на улиците до степен да осигурят достъп до поземления имот е задължение на общината, поради факта, че улиците са общинска собственост. Когато улицата не е изградена, не са проведени отчуждителни процедури и не са изплатени обезщетения на собствениците на поземлени имоти, части от които влизат в регулацията на прилежащата улица, въведеното изискване е </w:t>
      </w:r>
      <w:r w:rsidDel="00000000" w:rsidR="00000000" w:rsidRPr="00000000">
        <w:rPr>
          <w:rFonts w:ascii="Arial" w:cs="Arial" w:eastAsia="Arial" w:hAnsi="Arial"/>
          <w:sz w:val="22"/>
          <w:szCs w:val="22"/>
          <w:u w:val="single"/>
          <w:rtl w:val="0"/>
        </w:rPr>
        <w:t xml:space="preserve">форма на недопустим и противоконституционен натиск</w:t>
      </w:r>
      <w:r w:rsidDel="00000000" w:rsidR="00000000" w:rsidRPr="00000000">
        <w:rPr>
          <w:rFonts w:ascii="Arial" w:cs="Arial" w:eastAsia="Arial" w:hAnsi="Arial"/>
          <w:sz w:val="22"/>
          <w:szCs w:val="22"/>
          <w:rtl w:val="0"/>
        </w:rPr>
        <w:t xml:space="preserve"> върху собствениците да дарят безвъзмездно имотите си, както и да изградят тази улица и инфраструктура вместо общината, за своя сметка.</w:t>
      </w:r>
    </w:p>
    <w:p w:rsidR="00000000" w:rsidDel="00000000" w:rsidP="00000000" w:rsidRDefault="00000000" w:rsidRPr="00000000" w14:paraId="000000A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Смятаме, че реализирането на предвидената транспортна инфраструктура представлява безспорен обществен интерес, но липсата на нормативно установени правила за пропорционално разпределение на тежестите за изграждането на улиците, поставя прилагането на чл.178, ал.3, т.5 от ЗУТ изцяло в зависимост от волята на администрацията, както в нарушение на чл.17, ал.1 от Конституцията не гарантира спокойно упражняване правото на собственост.</w:t>
      </w:r>
    </w:p>
    <w:p w:rsidR="00000000" w:rsidDel="00000000" w:rsidP="00000000" w:rsidRDefault="00000000" w:rsidRPr="00000000" w14:paraId="000000A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Предвид изложеното, молим да уважите искането на Омбудсмана на Република България и да обявите за противоконституционни разпоредбите на чл.149, ал.16 и чл.178, ал.3, т.5 в частта „в териториите със средно и високо застрояване, както и“ от Закона за устройство на територията.</w:t>
      </w:r>
    </w:p>
    <w:p w:rsidR="00000000" w:rsidDel="00000000" w:rsidP="00000000" w:rsidRDefault="00000000" w:rsidRPr="00000000" w14:paraId="000000A6">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r>
    </w:p>
    <w:p w:rsidR="00000000" w:rsidDel="00000000" w:rsidP="00000000" w:rsidRDefault="00000000" w:rsidRPr="00000000" w14:paraId="000000A7">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 xml:space="preserve">Председател на САБ:                                /п/</w:t>
      </w:r>
    </w:p>
    <w:p w:rsidR="00000000" w:rsidDel="00000000" w:rsidP="00000000" w:rsidRDefault="00000000" w:rsidRPr="00000000" w14:paraId="000000A8">
      <w:pPr>
        <w:jc w:val="right"/>
        <w:rPr>
          <w:rFonts w:ascii="Arial" w:cs="Arial" w:eastAsia="Arial" w:hAnsi="Arial"/>
          <w:sz w:val="22"/>
          <w:szCs w:val="22"/>
        </w:rPr>
      </w:pPr>
      <w:r w:rsidDel="00000000" w:rsidR="00000000" w:rsidRPr="00000000">
        <w:rPr>
          <w:rFonts w:ascii="Arial" w:cs="Arial" w:eastAsia="Arial" w:hAnsi="Arial"/>
          <w:sz w:val="22"/>
          <w:szCs w:val="22"/>
          <w:rtl w:val="0"/>
        </w:rPr>
        <w:tab/>
        <w:tab/>
        <w:tab/>
        <w:tab/>
        <w:tab/>
        <w:t xml:space="preserve">проф. д-р арх. Тодор Булев</w:t>
      </w:r>
    </w:p>
    <w:p w:rsidR="00000000" w:rsidDel="00000000" w:rsidP="00000000" w:rsidRDefault="00000000" w:rsidRPr="00000000" w14:paraId="000000A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Приложение № 7</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Препис!!!</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ПОСТАНОВЛЕНИЕ</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ЗА ПРЕКРАТЯВАНЕ НА ДОСЪДЕБНО ПРОИЗВОДСТВО</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гр. София, 2.12.2021 г.</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Г.Чотински – прокурор при СРП, като се запознах с материалите, съдържащи се в досъдебното производство № 15252/20 г. по описа на 01 РУ- СДВР, пр.пр. №14888/2020 г. по описа на СРП</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У С Т А Н О В И Х:</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Досъдебното производство е образувано на 25.06.2020 г. за това, че на 30.11.2019 г. в гр. София, е съставен неистински частен документ и е употребен, за да докаже, че съществува някое правно отношение.</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престъпление по чл.309  ал.1 от НК.</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В хода на разследването по досъдебното производство в качеството на свидетели са разпитани Тодор Булев, Ваня Фурнаджиева-Петличкова, Хубена Салджиева, Любомир Горчев, Елена Динева-Василева, Венцислав Илиев и Димитър Стефанов.</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Изискани са и са приложени два броя решения на общото събрание на САБ.</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Назначена е графическа експертиза на подписите, положени на решенията на САБ и е приложено заключението по същата.</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Разследването по досъдебното производство е приключило и същото е изпратено в СРП с мнение за прекратяване на основание чл.24 ал.1 т.1 НПК.</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В хода на разследването по досъдебното производство е установена следната фактическа обстановка:</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На 9.04.2020 г. свидетелката Мая Бужашка депозирала по електронен път сигнал до Апелативен прокурор при Апелативна прокуратура София. В сигнала си тя посочила, че не е съгласна с начина, по който е била оформена документацията, след провеждането на 30-то Общо събрание на Съюза на архитектите в България.</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На този сигнал Бужашка е заявила, че т.10 изписана в протокола под решенията на 30-то ОС се различава от т.10 в регулярния бюлетин на САБ. По този повод било образувано досъдебно  производство за извършено документално престъпление на 30.11.2019 г. в гр. София, че е съставен неистински частен документ.</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В хода на разследването по досъдебното производство в качеството на свидетели са били разпитани Тодор Булев, Ваня Фурнаджиева-Петличкова, Хубена Салджиева, Любомир Горчев, Елена Динева-Василева, Венцислав Илиев и Димитър Стефанов.</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Изискани са и са приложени два броя решения на общото събрание на САБ.</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Назначена е графическа експертиза на подписите положени на решенията на САБ и е приложено заключението по същата.</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От така събраният в цялост доказателствен материал – показанията на разпитаните свидетели, както и от приложените писмени доказателства – решения на общото събрание на САБ се установява, че така съставените протоколи, които са обозначени като решения на САБ, нямат характер на решения по смисъла на правилата на САБ. В тези два документа, които са приложени към материалите по досъдебното производство са отразени единствено предложенията на присъстващите лица на общото събрание на САБ, като първоначално определената комисия следва да събере от всяко едно лице, което има предложение, след което да систематизира всички предложения в приложения протокол и да ги обяви и с тях се запознаят всички участващи лица.</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От разпита на лицето, което е водило протокола на събранието се установява, че са съставени два оригинала на тези протоколи.</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Заключението на изготвената и приложено по досъдебното производство графическа експертиза е категорично, че подписите в изследваните два документа са положени от съответните лица, като не е установено поради каква причина липсват подписи в един от двата протокола.</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Така съставените документи от друга страна не обвързват комисията във включването на посочените точки в тях в дневният ред на ОС на САБ. В такъв смисъл тези документи отразяват волята на присъстващите, но те не пораждат правни последици поради правомощията на самата комисия да прецени кои от тях да включи, тъй като тези документи нямат характер на взето решение на ОС на САБ. Липсата на разлика в тяхното съдържание и потвърждението на всички членове, че са съставени и подписани от присъстващите лица, гарантира тяхната автентичност и законосъобразност.</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От гореизложеното е видно, че не са събрани достатъчно данни за извършено престъпление по чл.309 ал.1 от НК.</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Разпоредбата на чл.309 ал.1 от НК предвижда да е съставен неистински частен документ и същият да е употребен, за да докаже, че съществува някое правно отношение. В случая не са събрани данни, че е бил съставен неистински частен документ.</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Ето защо досъдебното производство следва да се прекрати поради липса на извършено престъпление.</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С оглед гореизложеното и на основание чл.199, ал.1 НПК, чл.243, ал.1, т.1 НПК, чл.24, ал.1, т.1 НПК.</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П О С Т А Н О В И Х:</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ПРЕКРАТЯВАМ досъдебното производство № 15252/20 г. по описа на 01 РУ-СДВР, пр. пр. № 14888/2020 г. по описа на СРП водено за престъпление по чл.309, ал.1 от НК, поради липса на извършено престъпление.</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брой аудиозапис на воденото 30-то ОС на САБ – остава към материалите по досъдебното производство.</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Постановлението подлежи на обжалване пред СРС – НО  в 7-дневен срок.</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 xml:space="preserve">                               Подпис/ Печат</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2">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4">
      <w:pPr>
        <w:rPr>
          <w:rFonts w:ascii="Arial" w:cs="Arial" w:eastAsia="Arial" w:hAnsi="Arial"/>
          <w:sz w:val="22"/>
          <w:szCs w:val="22"/>
        </w:rPr>
      </w:pPr>
      <w:r w:rsidDel="00000000" w:rsidR="00000000" w:rsidRPr="00000000">
        <w:rPr>
          <w:rtl w:val="0"/>
        </w:rPr>
      </w:r>
    </w:p>
    <w:sectPr>
      <w:pgSz w:h="16838" w:w="11906" w:orient="portrait"/>
      <w:pgMar w:bottom="680" w:top="680"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bg-BG"/>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before="240" w:lineRule="auto"/>
    </w:pPr>
    <w:rPr>
      <w:rFonts w:ascii="Calibri" w:cs="Calibri" w:eastAsia="Calibri" w:hAnsi="Calibri"/>
      <w:color w:val="1f4e79"/>
      <w:sz w:val="32"/>
      <w:szCs w:val="32"/>
    </w:rPr>
  </w:style>
  <w:style w:type="paragraph" w:styleId="Heading2">
    <w:name w:val="heading 2"/>
    <w:basedOn w:val="Normal"/>
    <w:next w:val="Normal"/>
    <w:pPr>
      <w:keepNext w:val="1"/>
      <w:keepLines w:val="1"/>
      <w:widowControl w:val="1"/>
      <w:spacing w:before="40" w:lineRule="auto"/>
    </w:pPr>
    <w:rPr>
      <w:rFonts w:ascii="Calibri" w:cs="Calibri" w:eastAsia="Calibri" w:hAnsi="Calibri"/>
      <w:color w:val="1f4e79"/>
      <w:sz w:val="26"/>
      <w:szCs w:val="26"/>
    </w:rPr>
  </w:style>
  <w:style w:type="paragraph" w:styleId="Heading3">
    <w:name w:val="heading 3"/>
    <w:basedOn w:val="Normal"/>
    <w:next w:val="Normal"/>
    <w:pPr>
      <w:keepNext w:val="1"/>
      <w:keepLines w:val="1"/>
      <w:widowControl w:val="1"/>
      <w:spacing w:before="40" w:lineRule="auto"/>
    </w:pPr>
    <w:rPr>
      <w:rFonts w:ascii="Calibri" w:cs="Calibri" w:eastAsia="Calibri" w:hAnsi="Calibri"/>
      <w:color w:val="1e4d78"/>
    </w:rPr>
  </w:style>
  <w:style w:type="paragraph" w:styleId="Heading4">
    <w:name w:val="heading 4"/>
    <w:basedOn w:val="Normal"/>
    <w:next w:val="Normal"/>
    <w:pPr>
      <w:keepNext w:val="1"/>
      <w:keepLines w:val="1"/>
      <w:widowControl w:val="1"/>
      <w:spacing w:before="40" w:lineRule="auto"/>
    </w:pPr>
    <w:rPr>
      <w:rFonts w:ascii="Calibri" w:cs="Calibri" w:eastAsia="Calibri" w:hAnsi="Calibri"/>
      <w:i w:val="1"/>
      <w:color w:val="1f4e79"/>
      <w:sz w:val="22"/>
      <w:szCs w:val="22"/>
    </w:rPr>
  </w:style>
  <w:style w:type="paragraph" w:styleId="Heading5">
    <w:name w:val="heading 5"/>
    <w:basedOn w:val="Normal"/>
    <w:next w:val="Normal"/>
    <w:pPr>
      <w:keepNext w:val="1"/>
      <w:keepLines w:val="1"/>
      <w:widowControl w:val="1"/>
      <w:spacing w:before="40" w:lineRule="auto"/>
    </w:pPr>
    <w:rPr>
      <w:rFonts w:ascii="Calibri" w:cs="Calibri" w:eastAsia="Calibri" w:hAnsi="Calibri"/>
      <w:color w:val="1f4e79"/>
      <w:sz w:val="22"/>
      <w:szCs w:val="22"/>
    </w:rPr>
  </w:style>
  <w:style w:type="paragraph" w:styleId="Heading6">
    <w:name w:val="heading 6"/>
    <w:basedOn w:val="Normal"/>
    <w:next w:val="Normal"/>
    <w:pPr>
      <w:keepNext w:val="1"/>
      <w:keepLines w:val="1"/>
      <w:widowControl w:val="1"/>
      <w:spacing w:before="40" w:lineRule="auto"/>
    </w:pPr>
    <w:rPr>
      <w:rFonts w:ascii="Calibri" w:cs="Calibri" w:eastAsia="Calibri" w:hAnsi="Calibri"/>
      <w:color w:val="1e4d78"/>
      <w:sz w:val="22"/>
      <w:szCs w:val="22"/>
    </w:rPr>
  </w:style>
  <w:style w:type="paragraph" w:styleId="Title">
    <w:name w:val="Title"/>
    <w:basedOn w:val="Normal"/>
    <w:next w:val="Normal"/>
    <w:pPr>
      <w:widowControl w:val="1"/>
    </w:pPr>
    <w:rPr>
      <w:rFonts w:ascii="Calibri" w:cs="Calibri" w:eastAsia="Calibri" w:hAnsi="Calibri"/>
      <w:color w:val="000000"/>
      <w:sz w:val="56"/>
      <w:szCs w:val="56"/>
    </w:rPr>
  </w:style>
  <w:style w:type="paragraph" w:styleId="Subtitle">
    <w:name w:val="Subtitle"/>
    <w:basedOn w:val="Normal"/>
    <w:next w:val="Normal"/>
    <w:pPr>
      <w:widowControl w:val="1"/>
    </w:pPr>
    <w:rPr>
      <w:rFonts w:ascii="Calibri" w:cs="Calibri" w:eastAsia="Calibri" w:hAnsi="Calibri"/>
      <w:color w:val="5a5a5a"/>
      <w:sz w:val="22"/>
      <w:szCs w:val="2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ab@bularc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